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a3f63ab1db4f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e12398c66d4806"/>
      <w:footerReference w:type="even" r:id="Rb941a75bfe764bd9"/>
      <w:footerReference w:type="first" r:id="R64d84ba3e5a34d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5e0e5f65ef4d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DFZ-2016-7559-XIII-NE-EI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943da4fa074b2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9b7b5dcfc545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326b4c3b1e4137" /><Relationship Type="http://schemas.openxmlformats.org/officeDocument/2006/relationships/numbering" Target="/word/numbering.xml" Id="Rd5a3d7c5a38240d3" /><Relationship Type="http://schemas.openxmlformats.org/officeDocument/2006/relationships/settings" Target="/word/settings.xml" Id="R24ca8f32508546c4" /><Relationship Type="http://schemas.openxmlformats.org/officeDocument/2006/relationships/image" Target="/word/media/ac2722d8-3ab6-4979-af1c-0987b248ccec.png" Id="R4c5e0e5f65ef4dee" /><Relationship Type="http://schemas.openxmlformats.org/officeDocument/2006/relationships/image" Target="/word/media/4e85c023-4734-44d9-a889-e84f8f5c724d.png" Id="Re0943da4fa074b23" /><Relationship Type="http://schemas.openxmlformats.org/officeDocument/2006/relationships/footer" Target="/word/footer1.xml" Id="Rfee12398c66d4806" /><Relationship Type="http://schemas.openxmlformats.org/officeDocument/2006/relationships/footer" Target="/word/footer2.xml" Id="Rb941a75bfe764bd9" /><Relationship Type="http://schemas.openxmlformats.org/officeDocument/2006/relationships/footer" Target="/word/footer3.xml" Id="R64d84ba3e5a34d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9b7b5dcfc545f0" /></Relationships>
</file>