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0f928c76f141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ff910ec3cc4df5"/>
      <w:footerReference w:type="even" r:id="Rfd0fcb74feb642c3"/>
      <w:footerReference w:type="first" r:id="R688f221f44804b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a45af643747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954d906f44439"/>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a7490afb8d4d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a7de605284676" /><Relationship Type="http://schemas.openxmlformats.org/officeDocument/2006/relationships/numbering" Target="/word/numbering.xml" Id="R3365a0041ac24144" /><Relationship Type="http://schemas.openxmlformats.org/officeDocument/2006/relationships/settings" Target="/word/settings.xml" Id="Re483e9333f7d464c" /><Relationship Type="http://schemas.openxmlformats.org/officeDocument/2006/relationships/image" Target="/word/media/550ef109-b1a6-48e3-9431-e1d51e0f55ca.png" Id="R766a45af643747dc" /><Relationship Type="http://schemas.openxmlformats.org/officeDocument/2006/relationships/image" Target="/word/media/c3e1398c-6388-4417-a5a5-acf295f4a280.png" Id="R057954d906f44439" /><Relationship Type="http://schemas.openxmlformats.org/officeDocument/2006/relationships/footer" Target="/word/footer1.xml" Id="R64ff910ec3cc4df5" /><Relationship Type="http://schemas.openxmlformats.org/officeDocument/2006/relationships/footer" Target="/word/footer2.xml" Id="Rfd0fcb74feb642c3" /><Relationship Type="http://schemas.openxmlformats.org/officeDocument/2006/relationships/footer" Target="/word/footer3.xml" Id="R688f221f44804b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a7490afb8d4d82" /></Relationships>
</file>