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253a99831f43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f08c9ec509472e"/>
      <w:footerReference w:type="even" r:id="R452fdf0731ff4d32"/>
      <w:footerReference w:type="first" r:id="R9642b92b7de44a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eea2b41c8a44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DFZ-2016-1273-XIII-NE-EI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09fab8f31147f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5023ed26a641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519d6cc19b4c7b" /><Relationship Type="http://schemas.openxmlformats.org/officeDocument/2006/relationships/numbering" Target="/word/numbering.xml" Id="Re5250cd454bd40e2" /><Relationship Type="http://schemas.openxmlformats.org/officeDocument/2006/relationships/settings" Target="/word/settings.xml" Id="Ra0d119842d134a9f" /><Relationship Type="http://schemas.openxmlformats.org/officeDocument/2006/relationships/image" Target="/word/media/a89ce229-d91a-406f-ba47-3a837f34f1bd.png" Id="Raaeea2b41c8a4471" /><Relationship Type="http://schemas.openxmlformats.org/officeDocument/2006/relationships/image" Target="/word/media/d97d87ce-6ab3-41c1-aa0c-93b66f36e5d3.png" Id="Ra809fab8f31147f8" /><Relationship Type="http://schemas.openxmlformats.org/officeDocument/2006/relationships/footer" Target="/word/footer1.xml" Id="R03f08c9ec509472e" /><Relationship Type="http://schemas.openxmlformats.org/officeDocument/2006/relationships/footer" Target="/word/footer2.xml" Id="R452fdf0731ff4d32" /><Relationship Type="http://schemas.openxmlformats.org/officeDocument/2006/relationships/footer" Target="/word/footer3.xml" Id="R9642b92b7de44a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5023ed26a64142" /></Relationships>
</file>