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b18d69c28c4f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45f20d64624851"/>
      <w:footerReference w:type="even" r:id="R392b307958e441f3"/>
      <w:footerReference w:type="first" r:id="Rd2cf5924755744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e80a5b52eb45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DFZ-2015-8047-IX-NE-EI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4d6b452c214f1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c06a23616f43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7b67315ac84c25" /><Relationship Type="http://schemas.openxmlformats.org/officeDocument/2006/relationships/numbering" Target="/word/numbering.xml" Id="Rda504cf5a8704b34" /><Relationship Type="http://schemas.openxmlformats.org/officeDocument/2006/relationships/settings" Target="/word/settings.xml" Id="R72a1153cb748484b" /><Relationship Type="http://schemas.openxmlformats.org/officeDocument/2006/relationships/image" Target="/word/media/08b1c033-9385-4ee8-9fc9-ce09226813c7.png" Id="Rfce80a5b52eb4552" /><Relationship Type="http://schemas.openxmlformats.org/officeDocument/2006/relationships/image" Target="/word/media/c39583de-72b5-49ba-96cf-e8aa0cb4e098.png" Id="R874d6b452c214f1f" /><Relationship Type="http://schemas.openxmlformats.org/officeDocument/2006/relationships/footer" Target="/word/footer1.xml" Id="R4045f20d64624851" /><Relationship Type="http://schemas.openxmlformats.org/officeDocument/2006/relationships/footer" Target="/word/footer2.xml" Id="R392b307958e441f3" /><Relationship Type="http://schemas.openxmlformats.org/officeDocument/2006/relationships/footer" Target="/word/footer3.xml" Id="Rd2cf5924755744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c06a23616f43f8" /></Relationships>
</file>