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dcf158bad540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e8ee220f06491c"/>
      <w:footerReference w:type="even" r:id="R807294168b474386"/>
      <w:footerReference w:type="first" r:id="Rb0b1367d9ac64c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b2533e3f7441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DFZ-2016-1726-VI-NE-EI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6ed28f1aac400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257f1dca8b48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a78ca1dcca440d" /><Relationship Type="http://schemas.openxmlformats.org/officeDocument/2006/relationships/numbering" Target="/word/numbering.xml" Id="R63821a4e725a4306" /><Relationship Type="http://schemas.openxmlformats.org/officeDocument/2006/relationships/settings" Target="/word/settings.xml" Id="R22de24ee01844c66" /><Relationship Type="http://schemas.openxmlformats.org/officeDocument/2006/relationships/image" Target="/word/media/8bb8006c-b09d-49c5-a73c-59e460c0d1ef.png" Id="Rd7b2533e3f7441c1" /><Relationship Type="http://schemas.openxmlformats.org/officeDocument/2006/relationships/image" Target="/word/media/5b5e632f-c693-4b40-8fea-17ffdc96de3d.png" Id="R9f6ed28f1aac4002" /><Relationship Type="http://schemas.openxmlformats.org/officeDocument/2006/relationships/footer" Target="/word/footer1.xml" Id="Ra6e8ee220f06491c" /><Relationship Type="http://schemas.openxmlformats.org/officeDocument/2006/relationships/footer" Target="/word/footer2.xml" Id="R807294168b474386" /><Relationship Type="http://schemas.openxmlformats.org/officeDocument/2006/relationships/footer" Target="/word/footer3.xml" Id="Rb0b1367d9ac64c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257f1dca8b48ac" /></Relationships>
</file>