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29055661414c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cfc39623e445de"/>
      <w:footerReference w:type="even" r:id="Re662bf09b97343ff"/>
      <w:footerReference w:type="first" r:id="R678b538b1f1f4d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dd0cc2bf3247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DFZ-2016-151-VIII-NE-EI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662ecddf52436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b588cbffac43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bb22bd32884cb3" /><Relationship Type="http://schemas.openxmlformats.org/officeDocument/2006/relationships/numbering" Target="/word/numbering.xml" Id="R3e03bf7a0f5f4869" /><Relationship Type="http://schemas.openxmlformats.org/officeDocument/2006/relationships/settings" Target="/word/settings.xml" Id="Rabce152d75af4abc" /><Relationship Type="http://schemas.openxmlformats.org/officeDocument/2006/relationships/image" Target="/word/media/2a3ab365-5e93-4b78-893e-d31c8e0b3013.png" Id="Rd9dd0cc2bf32475a" /><Relationship Type="http://schemas.openxmlformats.org/officeDocument/2006/relationships/image" Target="/word/media/51a4a9c1-79ec-4512-b1e8-cc09726ff71f.png" Id="R7a662ecddf52436e" /><Relationship Type="http://schemas.openxmlformats.org/officeDocument/2006/relationships/footer" Target="/word/footer1.xml" Id="R2bcfc39623e445de" /><Relationship Type="http://schemas.openxmlformats.org/officeDocument/2006/relationships/footer" Target="/word/footer2.xml" Id="Re662bf09b97343ff" /><Relationship Type="http://schemas.openxmlformats.org/officeDocument/2006/relationships/footer" Target="/word/footer3.xml" Id="R678b538b1f1f4d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b588cbffac43cf" /></Relationships>
</file>