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85ea2c7d1849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cd6260221e49d1"/>
      <w:footerReference w:type="even" r:id="R2f6ac3baf05e4a5a"/>
      <w:footerReference w:type="first" r:id="R65abd87fd2be43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3b8b9322be4a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DFZ-2015-8518-VII-NE-EI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21d4694d6f431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68aff4badfa46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2f8a39ae1b49cf" /><Relationship Type="http://schemas.openxmlformats.org/officeDocument/2006/relationships/numbering" Target="/word/numbering.xml" Id="R1d92cfc73a0a433e" /><Relationship Type="http://schemas.openxmlformats.org/officeDocument/2006/relationships/settings" Target="/word/settings.xml" Id="R4beb53e22e274c9f" /><Relationship Type="http://schemas.openxmlformats.org/officeDocument/2006/relationships/image" Target="/word/media/79414912-5fdc-4056-a7df-9245c6b11cc6.png" Id="Rde3b8b9322be4a37" /><Relationship Type="http://schemas.openxmlformats.org/officeDocument/2006/relationships/image" Target="/word/media/7df5eb26-bcae-4578-a20e-eeb317c914cd.png" Id="R1821d4694d6f4316" /><Relationship Type="http://schemas.openxmlformats.org/officeDocument/2006/relationships/footer" Target="/word/footer1.xml" Id="R29cd6260221e49d1" /><Relationship Type="http://schemas.openxmlformats.org/officeDocument/2006/relationships/footer" Target="/word/footer2.xml" Id="R2f6ac3baf05e4a5a" /><Relationship Type="http://schemas.openxmlformats.org/officeDocument/2006/relationships/footer" Target="/word/footer3.xml" Id="R65abd87fd2be43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8aff4badfa4600" /></Relationships>
</file>