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83a6b524f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cda014b074cc6"/>
      <w:footerReference w:type="even" r:id="Raeb04cbdaee548ae"/>
      <w:footerReference w:type="first" r:id="Rf9e620c51e0149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fbcea745d46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DFZ-2016-2477-VI-NE-EI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7526a9d784f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4bff17aae542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0abd4caed4dbe" /><Relationship Type="http://schemas.openxmlformats.org/officeDocument/2006/relationships/numbering" Target="/word/numbering.xml" Id="Ra967d910a77647e3" /><Relationship Type="http://schemas.openxmlformats.org/officeDocument/2006/relationships/settings" Target="/word/settings.xml" Id="R76a6ba3ebb0c4206" /><Relationship Type="http://schemas.openxmlformats.org/officeDocument/2006/relationships/image" Target="/word/media/562c46f1-bb79-40b8-b758-ce5fb0700b0c.png" Id="R82afbcea745d46ca" /><Relationship Type="http://schemas.openxmlformats.org/officeDocument/2006/relationships/image" Target="/word/media/fd6f0e91-0a8a-4e70-8004-d14748bd3773.png" Id="Rb297526a9d784f22" /><Relationship Type="http://schemas.openxmlformats.org/officeDocument/2006/relationships/footer" Target="/word/footer1.xml" Id="Re61cda014b074cc6" /><Relationship Type="http://schemas.openxmlformats.org/officeDocument/2006/relationships/footer" Target="/word/footer2.xml" Id="Raeb04cbdaee548ae" /><Relationship Type="http://schemas.openxmlformats.org/officeDocument/2006/relationships/footer" Target="/word/footer3.xml" Id="Rf9e620c51e0149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4bff17aae542a1" /></Relationships>
</file>