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786450cc241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73d749bb504bf6"/>
      <w:footerReference w:type="even" r:id="Rb58e5652b1154ed7"/>
      <w:footerReference w:type="first" r:id="R0cb07c7e363f48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8d2ced51714e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DFZ-2015-7164-X-NE-EI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d0352ffdeb465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MARZO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85f2025964d46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2dc7de02ac4d09" /><Relationship Type="http://schemas.openxmlformats.org/officeDocument/2006/relationships/numbering" Target="/word/numbering.xml" Id="R0c7a7f7d2bd44fe5" /><Relationship Type="http://schemas.openxmlformats.org/officeDocument/2006/relationships/settings" Target="/word/settings.xml" Id="Rea2a41cc5d4f44a5" /><Relationship Type="http://schemas.openxmlformats.org/officeDocument/2006/relationships/image" Target="/word/media/9bdc1685-46bc-4927-a877-70daa5f9882a.png" Id="Rc88d2ced51714e74" /><Relationship Type="http://schemas.openxmlformats.org/officeDocument/2006/relationships/image" Target="/word/media/cd8e7c0b-d65a-41ff-a58b-ab53ca0d1616.png" Id="R07d0352ffdeb4657" /><Relationship Type="http://schemas.openxmlformats.org/officeDocument/2006/relationships/footer" Target="/word/footer1.xml" Id="Rec73d749bb504bf6" /><Relationship Type="http://schemas.openxmlformats.org/officeDocument/2006/relationships/footer" Target="/word/footer2.xml" Id="Rb58e5652b1154ed7" /><Relationship Type="http://schemas.openxmlformats.org/officeDocument/2006/relationships/footer" Target="/word/footer3.xml" Id="R0cb07c7e363f48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85f2025964d466f" /></Relationships>
</file>