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05a1aa262d47f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0a0f2b5f9847ac"/>
      <w:footerReference w:type="even" r:id="R0138d48cfeea42fd"/>
      <w:footerReference w:type="first" r:id="R94422ba879f542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fea270f52e47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DFZ-2016-1309-XIII-NE-EI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466badcff1c454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OCTUBRE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580ff4b60c24eb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179c65617224a7c" /><Relationship Type="http://schemas.openxmlformats.org/officeDocument/2006/relationships/numbering" Target="/word/numbering.xml" Id="Red61f497bf064efd" /><Relationship Type="http://schemas.openxmlformats.org/officeDocument/2006/relationships/settings" Target="/word/settings.xml" Id="Rfaa0682279ab463d" /><Relationship Type="http://schemas.openxmlformats.org/officeDocument/2006/relationships/image" Target="/word/media/914481c7-7df5-4fbb-93f1-afa26961e273.png" Id="R0cfea270f52e474e" /><Relationship Type="http://schemas.openxmlformats.org/officeDocument/2006/relationships/image" Target="/word/media/3565ea4e-a37f-4ba1-979f-d2d52093bbf6.png" Id="Rf466badcff1c4546" /><Relationship Type="http://schemas.openxmlformats.org/officeDocument/2006/relationships/footer" Target="/word/footer1.xml" Id="R090a0f2b5f9847ac" /><Relationship Type="http://schemas.openxmlformats.org/officeDocument/2006/relationships/footer" Target="/word/footer2.xml" Id="R0138d48cfeea42fd" /><Relationship Type="http://schemas.openxmlformats.org/officeDocument/2006/relationships/footer" Target="/word/footer3.xml" Id="R94422ba879f542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80ff4b60c24ebe" /></Relationships>
</file>