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48510835b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f0030f166fb48f5"/>
      <w:footerReference w:type="even" r:id="Rbb9eb6b8d9c54662"/>
      <w:footerReference w:type="first" r:id="Re1dc6828600548e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6d4ea6e0429495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SOCIEDAD VARGAS Y VARGAS LTDA.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DFZ-2015-8227-XI-NE-EI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97ce83c57a846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“SOCIEDAD VARGAS Y VARGAS LTDA.”,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VARGAS Y VARGAS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77235210-7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SOCIEDAD VARGAS Y VARGAS LTDA.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KM 5 DEL CAMINO AYSÉN, AYSEN, XI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 REGIÓN DE AYSÉN DEL GENERAL CARLOS IBAÑEZ DEL CAMPO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AISEN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AYSÉN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EFLORES@VVREDES.CL; CONTACTO@VVREDES.CL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137 de fecha 14-01-2011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N°31 de fecha 05-09-2000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(ESTERO EL SALTO).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AGOSTO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SALTO)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08-2015_IANSAGRO S.A. (LOS ANGELES).pdf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CONTROL DIRECTO 08-2015_Sociedad Vargas y Vargas Ltda_ Taller de Redes.pdf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8ee569e8ee445e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2752feef541fc" /><Relationship Type="http://schemas.openxmlformats.org/officeDocument/2006/relationships/numbering" Target="/word/numbering.xml" Id="R1bae2a42167d460f" /><Relationship Type="http://schemas.openxmlformats.org/officeDocument/2006/relationships/settings" Target="/word/settings.xml" Id="Rc02a6aa5864347ec" /><Relationship Type="http://schemas.openxmlformats.org/officeDocument/2006/relationships/image" Target="/word/media/17ad1fe8-7ee5-4a6f-95e8-58559791448e.png" Id="R66d4ea6e04294950" /><Relationship Type="http://schemas.openxmlformats.org/officeDocument/2006/relationships/image" Target="/word/media/b316b049-8fad-4dd0-9060-232f1b65275b.png" Id="R497ce83c57a84678" /><Relationship Type="http://schemas.openxmlformats.org/officeDocument/2006/relationships/footer" Target="/word/footer1.xml" Id="Raf0030f166fb48f5" /><Relationship Type="http://schemas.openxmlformats.org/officeDocument/2006/relationships/footer" Target="/word/footer2.xml" Id="Rbb9eb6b8d9c54662" /><Relationship Type="http://schemas.openxmlformats.org/officeDocument/2006/relationships/footer" Target="/word/footer3.xml" Id="Re1dc6828600548e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8ee569e8ee445e2" /></Relationships>
</file>