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d1a2aff65643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44786003c94deb"/>
      <w:footerReference w:type="even" r:id="Re059c9ae2cb94f72"/>
      <w:footerReference w:type="first" r:id="R263e3c8c69604f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f69a51dff848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DFZ-2015-7851-VIII-NE-EI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e4858180cf42ae"/>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QUILQUE).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r>
        <w:tc>
          <w:tcPr>
            <w:tcW w:w="2310" w:type="auto"/>
          </w:tcPr>
          <w:p>
            <w:pPr>
              <w:jc w:val="center"/>
            </w:pPr>
            <w:r>
              <w:t>2</w:t>
            </w:r>
          </w:p>
        </w:tc>
        <w:tc>
          <w:tcPr>
            <w:tcW w:w="2310" w:type="auto"/>
          </w:tcPr>
          <w:p>
            <w:pPr/>
            <w:r>
              <w:t>CONTROL DIRECTO 05-2015_BIOLECHE LACTEOS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45157a860545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7c318b85ac455a" /><Relationship Type="http://schemas.openxmlformats.org/officeDocument/2006/relationships/numbering" Target="/word/numbering.xml" Id="Rfe658218880b4d4b" /><Relationship Type="http://schemas.openxmlformats.org/officeDocument/2006/relationships/settings" Target="/word/settings.xml" Id="Rf94a92adf3ff49d9" /><Relationship Type="http://schemas.openxmlformats.org/officeDocument/2006/relationships/image" Target="/word/media/9aa051ba-f823-412d-9508-408a1832b0f8.png" Id="R98f69a51dff84814" /><Relationship Type="http://schemas.openxmlformats.org/officeDocument/2006/relationships/image" Target="/word/media/6f115e42-c091-49d6-92db-18b971c6d009.png" Id="R8ae4858180cf42ae" /><Relationship Type="http://schemas.openxmlformats.org/officeDocument/2006/relationships/footer" Target="/word/footer1.xml" Id="R8d44786003c94deb" /><Relationship Type="http://schemas.openxmlformats.org/officeDocument/2006/relationships/footer" Target="/word/footer2.xml" Id="Re059c9ae2cb94f72" /><Relationship Type="http://schemas.openxmlformats.org/officeDocument/2006/relationships/footer" Target="/word/footer3.xml" Id="R263e3c8c69604f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45157a860545e1" /></Relationships>
</file>