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3b59d084ae43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3f812af654009"/>
      <w:footerReference w:type="even" r:id="Rf15254044c0e42fa"/>
      <w:footerReference w:type="first" r:id="R90f21630238243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1edc9df47f47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DFZ-2015-7761-IV-NE-EI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01cc80143472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36dcba0d78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1aa9842564f94" /><Relationship Type="http://schemas.openxmlformats.org/officeDocument/2006/relationships/numbering" Target="/word/numbering.xml" Id="R747a22cdf8b842b3" /><Relationship Type="http://schemas.openxmlformats.org/officeDocument/2006/relationships/settings" Target="/word/settings.xml" Id="R765a371ec66f4e6a" /><Relationship Type="http://schemas.openxmlformats.org/officeDocument/2006/relationships/image" Target="/word/media/bcbd2749-f1eb-4d1a-9304-7da64c40f348.png" Id="R071edc9df47f47d6" /><Relationship Type="http://schemas.openxmlformats.org/officeDocument/2006/relationships/image" Target="/word/media/5297767c-37fc-4c22-839c-6f0caf017c89.png" Id="Rbdd01cc801434723" /><Relationship Type="http://schemas.openxmlformats.org/officeDocument/2006/relationships/footer" Target="/word/footer1.xml" Id="Rcf13f812af654009" /><Relationship Type="http://schemas.openxmlformats.org/officeDocument/2006/relationships/footer" Target="/word/footer2.xml" Id="Rf15254044c0e42fa" /><Relationship Type="http://schemas.openxmlformats.org/officeDocument/2006/relationships/footer" Target="/word/footer3.xml" Id="R90f21630238243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36dcba0d78481d" /></Relationships>
</file>