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4d93ebf1eb45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8fa0193a004456"/>
      <w:footerReference w:type="even" r:id="R87ea689b3e064a76"/>
      <w:footerReference w:type="first" r:id="R8005e1e72aec4d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d1ad37396545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DFZ-2015-9329-IX-NE-EI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14736362c476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1706e8043949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e0d0ca3a074e5b" /><Relationship Type="http://schemas.openxmlformats.org/officeDocument/2006/relationships/numbering" Target="/word/numbering.xml" Id="R9ac3adc7cbfd46d6" /><Relationship Type="http://schemas.openxmlformats.org/officeDocument/2006/relationships/settings" Target="/word/settings.xml" Id="Rbace17dafa744390" /><Relationship Type="http://schemas.openxmlformats.org/officeDocument/2006/relationships/image" Target="/word/media/b1c143e7-e257-402f-b5c5-a4082c870b16.png" Id="Refd1ad3739654595" /><Relationship Type="http://schemas.openxmlformats.org/officeDocument/2006/relationships/image" Target="/word/media/f7e711d7-84b4-4d1b-b3d7-7c67a492bcc6.png" Id="Rd0f14736362c4764" /><Relationship Type="http://schemas.openxmlformats.org/officeDocument/2006/relationships/footer" Target="/word/footer1.xml" Id="R5a8fa0193a004456" /><Relationship Type="http://schemas.openxmlformats.org/officeDocument/2006/relationships/footer" Target="/word/footer2.xml" Id="R87ea689b3e064a76" /><Relationship Type="http://schemas.openxmlformats.org/officeDocument/2006/relationships/footer" Target="/word/footer3.xml" Id="R8005e1e72aec4d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1706e80439497f" /></Relationships>
</file>