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fb31b2714b43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48274d30f6495c"/>
      <w:footerReference w:type="even" r:id="R78c4862b155c48b3"/>
      <w:footerReference w:type="first" r:id="R46a04c2c974547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05e1ecd73144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DFZ-2015-4420-XI-NE-EI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d7128ba1064dc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fc25be9d9348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2b00efa5340ee" /><Relationship Type="http://schemas.openxmlformats.org/officeDocument/2006/relationships/numbering" Target="/word/numbering.xml" Id="R4552c40e39614826" /><Relationship Type="http://schemas.openxmlformats.org/officeDocument/2006/relationships/settings" Target="/word/settings.xml" Id="R8780fea768cf4362" /><Relationship Type="http://schemas.openxmlformats.org/officeDocument/2006/relationships/image" Target="/word/media/ba1b935e-e0b6-49d4-8444-2cf39d1683cd.png" Id="R7305e1ecd731446a" /><Relationship Type="http://schemas.openxmlformats.org/officeDocument/2006/relationships/image" Target="/word/media/c4b1c63e-6abe-4384-aed8-170b11234809.png" Id="R55d7128ba1064dcd" /><Relationship Type="http://schemas.openxmlformats.org/officeDocument/2006/relationships/footer" Target="/word/footer1.xml" Id="R0b48274d30f6495c" /><Relationship Type="http://schemas.openxmlformats.org/officeDocument/2006/relationships/footer" Target="/word/footer2.xml" Id="R78c4862b155c48b3" /><Relationship Type="http://schemas.openxmlformats.org/officeDocument/2006/relationships/footer" Target="/word/footer3.xml" Id="R46a04c2c974547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fc25be9d934802" /></Relationships>
</file>