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b0e5fd3d5349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0d1d322061461c"/>
      <w:footerReference w:type="even" r:id="R99b19f33854e4412"/>
      <w:footerReference w:type="first" r:id="R242af39d6db74a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2bbede3d347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DFZ-2015-5535-VI-NE-EI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61290bed54c53"/>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(ESTERO TRONCO - PLANTA DE VAPOR).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f5d5a4fcd94f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79bd477f14c19" /><Relationship Type="http://schemas.openxmlformats.org/officeDocument/2006/relationships/numbering" Target="/word/numbering.xml" Id="R87deb55461d54064" /><Relationship Type="http://schemas.openxmlformats.org/officeDocument/2006/relationships/settings" Target="/word/settings.xml" Id="R7cc682e1e22a4ae8" /><Relationship Type="http://schemas.openxmlformats.org/officeDocument/2006/relationships/image" Target="/word/media/86804f99-a572-4c26-9dba-5100b3faf14d.png" Id="Re902bbede3d347d7" /><Relationship Type="http://schemas.openxmlformats.org/officeDocument/2006/relationships/image" Target="/word/media/4e22467b-9d63-43fc-ae52-6881e6d60a20.png" Id="Ra5361290bed54c53" /><Relationship Type="http://schemas.openxmlformats.org/officeDocument/2006/relationships/footer" Target="/word/footer1.xml" Id="R460d1d322061461c" /><Relationship Type="http://schemas.openxmlformats.org/officeDocument/2006/relationships/footer" Target="/word/footer2.xml" Id="R99b19f33854e4412" /><Relationship Type="http://schemas.openxmlformats.org/officeDocument/2006/relationships/footer" Target="/word/footer3.xml" Id="R242af39d6db74a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f5d5a4fcd94f91" /></Relationships>
</file>