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b193bc8a5745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16ec1a520e41cc"/>
      <w:footerReference w:type="even" r:id="Rbeaf9ac84ea347c8"/>
      <w:footerReference w:type="first" r:id="R9bc103295ae143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c1de3c36694d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DFZ-2016-440-IV-NE-EI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51dae34d94a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0ef8f039964a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85f9af98304b29" /><Relationship Type="http://schemas.openxmlformats.org/officeDocument/2006/relationships/numbering" Target="/word/numbering.xml" Id="Rf093603e49374f39" /><Relationship Type="http://schemas.openxmlformats.org/officeDocument/2006/relationships/settings" Target="/word/settings.xml" Id="R68bc1cf662db4d09" /><Relationship Type="http://schemas.openxmlformats.org/officeDocument/2006/relationships/image" Target="/word/media/2356bf44-bf9c-42f0-a13b-0b75630c16f7.png" Id="Rafc1de3c36694d38" /><Relationship Type="http://schemas.openxmlformats.org/officeDocument/2006/relationships/image" Target="/word/media/dd422360-90c7-4e29-aa70-6d76514df5ce.png" Id="R1ed51dae34d94af0" /><Relationship Type="http://schemas.openxmlformats.org/officeDocument/2006/relationships/footer" Target="/word/footer1.xml" Id="R2e16ec1a520e41cc" /><Relationship Type="http://schemas.openxmlformats.org/officeDocument/2006/relationships/footer" Target="/word/footer2.xml" Id="Rbeaf9ac84ea347c8" /><Relationship Type="http://schemas.openxmlformats.org/officeDocument/2006/relationships/footer" Target="/word/footer3.xml" Id="R9bc103295ae143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0ef8f039964adc" /></Relationships>
</file>