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07ffe3bba74b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5659b54f0874981"/>
      <w:footerReference w:type="even" r:id="Rbcca362145d8406a"/>
      <w:footerReference w:type="first" r:id="Rb088ab6c41104c1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d70df7b56b4a4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DFZ-2015-9029-VII-NE-EI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25436bbbd248a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JUNIO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f0929f93b43498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483187735204dbd" /><Relationship Type="http://schemas.openxmlformats.org/officeDocument/2006/relationships/numbering" Target="/word/numbering.xml" Id="Rc02c84238f8440f8" /><Relationship Type="http://schemas.openxmlformats.org/officeDocument/2006/relationships/settings" Target="/word/settings.xml" Id="R5a0a3eac14504293" /><Relationship Type="http://schemas.openxmlformats.org/officeDocument/2006/relationships/image" Target="/word/media/3d643947-f278-4e7a-9430-b06cf2ad2e69.png" Id="R7fd70df7b56b4a47" /><Relationship Type="http://schemas.openxmlformats.org/officeDocument/2006/relationships/image" Target="/word/media/c0ea2b22-1ff4-475e-af8f-9236e3c11046.png" Id="Rb525436bbbd248a7" /><Relationship Type="http://schemas.openxmlformats.org/officeDocument/2006/relationships/footer" Target="/word/footer1.xml" Id="R15659b54f0874981" /><Relationship Type="http://schemas.openxmlformats.org/officeDocument/2006/relationships/footer" Target="/word/footer2.xml" Id="Rbcca362145d8406a" /><Relationship Type="http://schemas.openxmlformats.org/officeDocument/2006/relationships/footer" Target="/word/footer3.xml" Id="Rb088ab6c41104c1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f0929f93b43498b" /></Relationships>
</file>