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1e41423d6e4b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fe5fbddff544975"/>
      <w:footerReference w:type="even" r:id="Rb07f61479b344469"/>
      <w:footerReference w:type="first" r:id="R5fa2de23539c4ce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65b721ae1d4fa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DFZ-2014-4550-VII-NE-EI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d7f92e5be184ebf"/>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fcece96fb7c40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74164eccac14e78" /><Relationship Type="http://schemas.openxmlformats.org/officeDocument/2006/relationships/numbering" Target="/word/numbering.xml" Id="Rbf16630672bc4bd6" /><Relationship Type="http://schemas.openxmlformats.org/officeDocument/2006/relationships/settings" Target="/word/settings.xml" Id="R653be2c409ac4f98" /><Relationship Type="http://schemas.openxmlformats.org/officeDocument/2006/relationships/image" Target="/word/media/4e907d50-3777-4229-b1f6-e2b6bf540096.png" Id="R7065b721ae1d4fa8" /><Relationship Type="http://schemas.openxmlformats.org/officeDocument/2006/relationships/image" Target="/word/media/98173aab-d98a-4e9b-a7e3-3e1806659f28.png" Id="Rdd7f92e5be184ebf" /><Relationship Type="http://schemas.openxmlformats.org/officeDocument/2006/relationships/footer" Target="/word/footer1.xml" Id="Refe5fbddff544975" /><Relationship Type="http://schemas.openxmlformats.org/officeDocument/2006/relationships/footer" Target="/word/footer2.xml" Id="Rb07f61479b344469" /><Relationship Type="http://schemas.openxmlformats.org/officeDocument/2006/relationships/footer" Target="/word/footer3.xml" Id="R5fa2de23539c4ce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fcece96fb7c40d8" /></Relationships>
</file>