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44cd1647642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17592e78d145dc"/>
      <w:footerReference w:type="even" r:id="R771bb65390b74ba7"/>
      <w:footerReference w:type="first" r:id="R35a53a7bae3546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7d454dbbc045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DFZ-2014-3051-VI-NE-EI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8dae08606b4fb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0208829eb3c49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ab88a041b5405c" /><Relationship Type="http://schemas.openxmlformats.org/officeDocument/2006/relationships/numbering" Target="/word/numbering.xml" Id="R9138248d3d144753" /><Relationship Type="http://schemas.openxmlformats.org/officeDocument/2006/relationships/settings" Target="/word/settings.xml" Id="R13887ad98ec04c20" /><Relationship Type="http://schemas.openxmlformats.org/officeDocument/2006/relationships/image" Target="/word/media/e9965512-a5b8-40e8-b5a5-1f1d47201be6.png" Id="Rf37d454dbbc045d5" /><Relationship Type="http://schemas.openxmlformats.org/officeDocument/2006/relationships/image" Target="/word/media/da06351b-245b-4fd3-a7c1-4b2ecb18eb6e.png" Id="R758dae08606b4fb7" /><Relationship Type="http://schemas.openxmlformats.org/officeDocument/2006/relationships/footer" Target="/word/footer1.xml" Id="R6a17592e78d145dc" /><Relationship Type="http://schemas.openxmlformats.org/officeDocument/2006/relationships/footer" Target="/word/footer2.xml" Id="R771bb65390b74ba7" /><Relationship Type="http://schemas.openxmlformats.org/officeDocument/2006/relationships/footer" Target="/word/footer3.xml" Id="R35a53a7bae3546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208829eb3c496e" /></Relationships>
</file>