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927e0fe62142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bac0c2890c4738"/>
      <w:footerReference w:type="even" r:id="R906551aee55f45ff"/>
      <w:footerReference w:type="first" r:id="R0418be9b73a242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d4dee939a4e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DFZ-2014-6349-XIV-NE-EI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3df9457d0d4f3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2a01d0c0a3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1691aa5b54065" /><Relationship Type="http://schemas.openxmlformats.org/officeDocument/2006/relationships/numbering" Target="/word/numbering.xml" Id="R26067bf67ffd4bf3" /><Relationship Type="http://schemas.openxmlformats.org/officeDocument/2006/relationships/settings" Target="/word/settings.xml" Id="Re0c2d39f82da48b7" /><Relationship Type="http://schemas.openxmlformats.org/officeDocument/2006/relationships/image" Target="/word/media/477746f0-ff94-4546-b430-92033b75b994.png" Id="R27ed4dee939a4e63" /><Relationship Type="http://schemas.openxmlformats.org/officeDocument/2006/relationships/image" Target="/word/media/3927a83a-86a5-4e9e-98a9-82c8a90df6cf.png" Id="R163df9457d0d4f37" /><Relationship Type="http://schemas.openxmlformats.org/officeDocument/2006/relationships/footer" Target="/word/footer1.xml" Id="R77bac0c2890c4738" /><Relationship Type="http://schemas.openxmlformats.org/officeDocument/2006/relationships/footer" Target="/word/footer2.xml" Id="R906551aee55f45ff" /><Relationship Type="http://schemas.openxmlformats.org/officeDocument/2006/relationships/footer" Target="/word/footer3.xml" Id="R0418be9b73a242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2a01d0c0a34386" /></Relationships>
</file>