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cfaf7fc8af4d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e7c03bd9bb4812"/>
      <w:footerReference w:type="even" r:id="R63090dc863b546eb"/>
      <w:footerReference w:type="first" r:id="Rd6f79ba447104c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0726ec515b4d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DFZ-2014-5726-VI-NE-EI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e046438fe84ba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b091feb2f4d45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d2757ade23427b" /><Relationship Type="http://schemas.openxmlformats.org/officeDocument/2006/relationships/numbering" Target="/word/numbering.xml" Id="Rf39a731a3da34fee" /><Relationship Type="http://schemas.openxmlformats.org/officeDocument/2006/relationships/settings" Target="/word/settings.xml" Id="R26494992bb954439" /><Relationship Type="http://schemas.openxmlformats.org/officeDocument/2006/relationships/image" Target="/word/media/0a73f164-83a2-4bf5-8086-bd85bf43d5b2.png" Id="R100726ec515b4d7c" /><Relationship Type="http://schemas.openxmlformats.org/officeDocument/2006/relationships/image" Target="/word/media/2b76f5b7-38ab-4a28-b463-04dbb95095ac.png" Id="Rfde046438fe84ba2" /><Relationship Type="http://schemas.openxmlformats.org/officeDocument/2006/relationships/footer" Target="/word/footer1.xml" Id="R05e7c03bd9bb4812" /><Relationship Type="http://schemas.openxmlformats.org/officeDocument/2006/relationships/footer" Target="/word/footer2.xml" Id="R63090dc863b546eb" /><Relationship Type="http://schemas.openxmlformats.org/officeDocument/2006/relationships/footer" Target="/word/footer3.xml" Id="Rd6f79ba447104c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091feb2f4d4594" /></Relationships>
</file>