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128d04f44a49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1c9b7b92ab407f"/>
      <w:footerReference w:type="even" r:id="R335f0f69ee3c420e"/>
      <w:footerReference w:type="first" r:id="R38d019b8227143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01cea91c5840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DFZ-2014-4659-VI-NE-EI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dd9a75cd87403a"/>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AGUA CLARA - AFL. RIO TINGUIRIRICA).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r>
        <w:tc>
          <w:tcPr>
            <w:tcW w:w="2310" w:type="auto"/>
          </w:tcPr>
          <w:p>
            <w:pPr>
              <w:jc w:val="center"/>
            </w:pPr>
            <w:r>
              <w:t>2</w:t>
            </w:r>
          </w:p>
        </w:tc>
        <w:tc>
          <w:tcPr>
            <w:tcW w:w="2310" w:type="auto"/>
          </w:tcPr>
          <w:p>
            <w:pPr/>
            <w:r>
              <w:t>CONTROL DIRECTO 04-2014_Viña casa lapostolle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cd0b13e91fd4d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366fc3c70d42ba" /><Relationship Type="http://schemas.openxmlformats.org/officeDocument/2006/relationships/numbering" Target="/word/numbering.xml" Id="Rc06afd2a508f4fc2" /><Relationship Type="http://schemas.openxmlformats.org/officeDocument/2006/relationships/settings" Target="/word/settings.xml" Id="Rfa2e5decb94f4bc2" /><Relationship Type="http://schemas.openxmlformats.org/officeDocument/2006/relationships/image" Target="/word/media/4a1726fd-30b8-423e-a20f-a49208a021b5.png" Id="R2701cea91c58400c" /><Relationship Type="http://schemas.openxmlformats.org/officeDocument/2006/relationships/image" Target="/word/media/f8fff218-35eb-4d8c-8109-57f1f813857f.png" Id="R98dd9a75cd87403a" /><Relationship Type="http://schemas.openxmlformats.org/officeDocument/2006/relationships/footer" Target="/word/footer1.xml" Id="R241c9b7b92ab407f" /><Relationship Type="http://schemas.openxmlformats.org/officeDocument/2006/relationships/footer" Target="/word/footer2.xml" Id="R335f0f69ee3c420e" /><Relationship Type="http://schemas.openxmlformats.org/officeDocument/2006/relationships/footer" Target="/word/footer3.xml" Id="R38d019b8227143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d0b13e91fd4d75" /></Relationships>
</file>