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03dcada2e43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a205d5f20614057"/>
      <w:footerReference w:type="even" r:id="Ra7091d47327547d8"/>
      <w:footerReference w:type="first" r:id="Rd013c5e5d5a3435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7837cc75ef43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DFZ-2014-4518-VII-NE-EI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3dd499275a4a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(ESTERO SECO).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04-2014_Viña concha y toro S.A. (bodega lontue).pdf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b9e52b5ce5a4df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9a666e0eb34523" /><Relationship Type="http://schemas.openxmlformats.org/officeDocument/2006/relationships/numbering" Target="/word/numbering.xml" Id="Rf52d799aed244403" /><Relationship Type="http://schemas.openxmlformats.org/officeDocument/2006/relationships/settings" Target="/word/settings.xml" Id="R2b779b2d67bc49d6" /><Relationship Type="http://schemas.openxmlformats.org/officeDocument/2006/relationships/image" Target="/word/media/fab66208-49b3-479e-864b-ea7278ca55fc.png" Id="R8b7837cc75ef43b2" /><Relationship Type="http://schemas.openxmlformats.org/officeDocument/2006/relationships/image" Target="/word/media/b53729ff-8843-4cee-a2cf-dc6ed28dd93b.png" Id="R423dd499275a4a5e" /><Relationship Type="http://schemas.openxmlformats.org/officeDocument/2006/relationships/footer" Target="/word/footer1.xml" Id="R1a205d5f20614057" /><Relationship Type="http://schemas.openxmlformats.org/officeDocument/2006/relationships/footer" Target="/word/footer2.xml" Id="Ra7091d47327547d8" /><Relationship Type="http://schemas.openxmlformats.org/officeDocument/2006/relationships/footer" Target="/word/footer3.xml" Id="Rd013c5e5d5a343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b9e52b5ce5a4dfb" /></Relationships>
</file>