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1fbd3e23f24f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7a77f3faa042d5"/>
      <w:footerReference w:type="even" r:id="R4d5eaa212c014819"/>
      <w:footerReference w:type="first" r:id="R911b7f34759944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380a4af1642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DFZ-2015-3604-VIII-NE-EI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6054919c6b4bd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57a821d1dd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475585f154d4e" /><Relationship Type="http://schemas.openxmlformats.org/officeDocument/2006/relationships/numbering" Target="/word/numbering.xml" Id="Rd3a5e1c5ce3542dd" /><Relationship Type="http://schemas.openxmlformats.org/officeDocument/2006/relationships/settings" Target="/word/settings.xml" Id="Rb0cc1d9822954853" /><Relationship Type="http://schemas.openxmlformats.org/officeDocument/2006/relationships/image" Target="/word/media/d0af03aa-af57-4772-a931-403a80380577.png" Id="R18c380a4af16428e" /><Relationship Type="http://schemas.openxmlformats.org/officeDocument/2006/relationships/image" Target="/word/media/e8f1dd35-8de8-4ec9-b690-6f393f29086e.png" Id="R826054919c6b4bdd" /><Relationship Type="http://schemas.openxmlformats.org/officeDocument/2006/relationships/footer" Target="/word/footer1.xml" Id="R087a77f3faa042d5" /><Relationship Type="http://schemas.openxmlformats.org/officeDocument/2006/relationships/footer" Target="/word/footer2.xml" Id="R4d5eaa212c014819" /><Relationship Type="http://schemas.openxmlformats.org/officeDocument/2006/relationships/footer" Target="/word/footer3.xml" Id="R911b7f34759944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57a821d1dd4bb7" /></Relationships>
</file>