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5b86ad196642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9ff2248a42445a"/>
      <w:footerReference w:type="even" r:id="R8bb9870d9a10457d"/>
      <w:footerReference w:type="first" r:id="R931f687f37e942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06657c538140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DFZ-2014-6409-IX-NE-EI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4984fa8e9d4ad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cb9ecd8d8a46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ed148d369a42fc" /><Relationship Type="http://schemas.openxmlformats.org/officeDocument/2006/relationships/numbering" Target="/word/numbering.xml" Id="R630c30c1ecb7411a" /><Relationship Type="http://schemas.openxmlformats.org/officeDocument/2006/relationships/settings" Target="/word/settings.xml" Id="R56b924cbdbea4a7c" /><Relationship Type="http://schemas.openxmlformats.org/officeDocument/2006/relationships/image" Target="/word/media/cfc52f14-5350-4912-b42f-0f7d4c23ef6b.png" Id="Rd506657c53814099" /><Relationship Type="http://schemas.openxmlformats.org/officeDocument/2006/relationships/image" Target="/word/media/c401842a-b06c-4a77-96d3-570c7c1335cd.png" Id="R204984fa8e9d4ad2" /><Relationship Type="http://schemas.openxmlformats.org/officeDocument/2006/relationships/footer" Target="/word/footer1.xml" Id="Ra19ff2248a42445a" /><Relationship Type="http://schemas.openxmlformats.org/officeDocument/2006/relationships/footer" Target="/word/footer2.xml" Id="R8bb9870d9a10457d" /><Relationship Type="http://schemas.openxmlformats.org/officeDocument/2006/relationships/footer" Target="/word/footer3.xml" Id="R931f687f37e942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cb9ecd8d8a46a8" /></Relationships>
</file>