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7d73c612445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fe7abdf6e848e6"/>
      <w:footerReference w:type="even" r:id="Reb9e4345e9c744fa"/>
      <w:footerReference w:type="first" r:id="Ra1cddb22bc7a45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c734220e4448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DFZ-2014-4693-VI-NE-EI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33c56f6d3245f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cbc866d61ac4b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4a615c5a3c4c55" /><Relationship Type="http://schemas.openxmlformats.org/officeDocument/2006/relationships/numbering" Target="/word/numbering.xml" Id="R1d2efbcc15cf46d7" /><Relationship Type="http://schemas.openxmlformats.org/officeDocument/2006/relationships/settings" Target="/word/settings.xml" Id="R975d0d3640244977" /><Relationship Type="http://schemas.openxmlformats.org/officeDocument/2006/relationships/image" Target="/word/media/a138c049-7f61-4177-85b4-c1f604f4aef1.png" Id="Redc734220e444866" /><Relationship Type="http://schemas.openxmlformats.org/officeDocument/2006/relationships/image" Target="/word/media/d369a657-1035-4def-bb7e-da4c16a84509.png" Id="R1333c56f6d3245fa" /><Relationship Type="http://schemas.openxmlformats.org/officeDocument/2006/relationships/footer" Target="/word/footer1.xml" Id="R9cfe7abdf6e848e6" /><Relationship Type="http://schemas.openxmlformats.org/officeDocument/2006/relationships/footer" Target="/word/footer2.xml" Id="Reb9e4345e9c744fa" /><Relationship Type="http://schemas.openxmlformats.org/officeDocument/2006/relationships/footer" Target="/word/footer3.xml" Id="Ra1cddb22bc7a45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bc866d61ac4b5c" /></Relationships>
</file>