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dad843ec444a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b1dbc1a28c4e88"/>
      <w:footerReference w:type="even" r:id="R67c709ca28c34b1c"/>
      <w:footerReference w:type="first" r:id="R4058ff2c7a644f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3e82d0c71241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DFZ-2014-5075-VI-NE-EI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565b94711a4f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ddd42fd24d40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963ae08b5e4871" /><Relationship Type="http://schemas.openxmlformats.org/officeDocument/2006/relationships/numbering" Target="/word/numbering.xml" Id="Ra409e28ca96c48b1" /><Relationship Type="http://schemas.openxmlformats.org/officeDocument/2006/relationships/settings" Target="/word/settings.xml" Id="Rbe1a9d79943c4a95" /><Relationship Type="http://schemas.openxmlformats.org/officeDocument/2006/relationships/image" Target="/word/media/3f2d0e09-c639-48ab-b4e3-168ffe144a36.png" Id="Ree3e82d0c712419a" /><Relationship Type="http://schemas.openxmlformats.org/officeDocument/2006/relationships/image" Target="/word/media/d2bbc1af-06ee-4c1c-be97-652fd3ec865d.png" Id="R44565b94711a4f57" /><Relationship Type="http://schemas.openxmlformats.org/officeDocument/2006/relationships/footer" Target="/word/footer1.xml" Id="R6db1dbc1a28c4e88" /><Relationship Type="http://schemas.openxmlformats.org/officeDocument/2006/relationships/footer" Target="/word/footer2.xml" Id="R67c709ca28c34b1c" /><Relationship Type="http://schemas.openxmlformats.org/officeDocument/2006/relationships/footer" Target="/word/footer3.xml" Id="R4058ff2c7a644f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ddd42fd24d4046" /></Relationships>
</file>