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63582c4ec141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eb6a84e8f94907"/>
      <w:footerReference w:type="even" r:id="Rfe6ff4b96c3348cf"/>
      <w:footerReference w:type="first" r:id="R7b27061141734b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0ef037eb254c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DFZ-2014-3053-XIV-NE-EI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e966a5d2f0428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9a6fe8a2c34f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eedf455dca4379" /><Relationship Type="http://schemas.openxmlformats.org/officeDocument/2006/relationships/numbering" Target="/word/numbering.xml" Id="R90dc89e46996439d" /><Relationship Type="http://schemas.openxmlformats.org/officeDocument/2006/relationships/settings" Target="/word/settings.xml" Id="Rfa0ec087f87f464d" /><Relationship Type="http://schemas.openxmlformats.org/officeDocument/2006/relationships/image" Target="/word/media/9c79178d-3ec9-4108-9646-7664d5807e64.png" Id="R8c0ef037eb254c33" /><Relationship Type="http://schemas.openxmlformats.org/officeDocument/2006/relationships/image" Target="/word/media/cceddeee-60f1-4df9-9dc4-6c5a2aa298c1.png" Id="R53e966a5d2f04283" /><Relationship Type="http://schemas.openxmlformats.org/officeDocument/2006/relationships/footer" Target="/word/footer1.xml" Id="Ra7eb6a84e8f94907" /><Relationship Type="http://schemas.openxmlformats.org/officeDocument/2006/relationships/footer" Target="/word/footer2.xml" Id="Rfe6ff4b96c3348cf" /><Relationship Type="http://schemas.openxmlformats.org/officeDocument/2006/relationships/footer" Target="/word/footer3.xml" Id="R7b27061141734b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9a6fe8a2c34f75" /></Relationships>
</file>