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8bb054adc74a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b9ed53de514716"/>
      <w:footerReference w:type="even" r:id="R8ec59fd8d0044421"/>
      <w:footerReference w:type="first" r:id="Ra05fb2ed58df4c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44409744454e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DFZ-2014-5512-X-NE-EI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99b9813774d7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c76f09937d44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ea1e4bad14006" /><Relationship Type="http://schemas.openxmlformats.org/officeDocument/2006/relationships/numbering" Target="/word/numbering.xml" Id="R51447d8cbf1b4fb9" /><Relationship Type="http://schemas.openxmlformats.org/officeDocument/2006/relationships/settings" Target="/word/settings.xml" Id="R35e44054059c4df7" /><Relationship Type="http://schemas.openxmlformats.org/officeDocument/2006/relationships/image" Target="/word/media/f31c8a8a-bcae-4e0b-8ce8-b2843d5d0751.png" Id="Rcd44409744454e25" /><Relationship Type="http://schemas.openxmlformats.org/officeDocument/2006/relationships/image" Target="/word/media/dcefd186-61db-48d5-8f4b-b349fa5e456e.png" Id="R4fa99b9813774d74" /><Relationship Type="http://schemas.openxmlformats.org/officeDocument/2006/relationships/footer" Target="/word/footer1.xml" Id="R4fb9ed53de514716" /><Relationship Type="http://schemas.openxmlformats.org/officeDocument/2006/relationships/footer" Target="/word/footer2.xml" Id="R8ec59fd8d0044421" /><Relationship Type="http://schemas.openxmlformats.org/officeDocument/2006/relationships/footer" Target="/word/footer3.xml" Id="Ra05fb2ed58df4c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c76f09937d445e" /></Relationships>
</file>