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d37d1c7f5840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7287012e4e4ce9"/>
      <w:footerReference w:type="even" r:id="R880b5ff4181b4432"/>
      <w:footerReference w:type="first" r:id="R947ec2cf9cf84b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764e4115a4d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DFZ-2014-5358-XIV-NE-EI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1ed3f8e431401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15d61b252b44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16a6cf6bf84c41" /><Relationship Type="http://schemas.openxmlformats.org/officeDocument/2006/relationships/numbering" Target="/word/numbering.xml" Id="R6c27645235814e3c" /><Relationship Type="http://schemas.openxmlformats.org/officeDocument/2006/relationships/settings" Target="/word/settings.xml" Id="R236b640e3b2f40ea" /><Relationship Type="http://schemas.openxmlformats.org/officeDocument/2006/relationships/image" Target="/word/media/41622ec8-847b-45b9-a87a-2116c0245e55.png" Id="Re17764e4115a4db0" /><Relationship Type="http://schemas.openxmlformats.org/officeDocument/2006/relationships/image" Target="/word/media/d5d6b237-f7eb-4b6d-939c-57500a31ba07.png" Id="R531ed3f8e431401a" /><Relationship Type="http://schemas.openxmlformats.org/officeDocument/2006/relationships/footer" Target="/word/footer1.xml" Id="R927287012e4e4ce9" /><Relationship Type="http://schemas.openxmlformats.org/officeDocument/2006/relationships/footer" Target="/word/footer2.xml" Id="R880b5ff4181b4432" /><Relationship Type="http://schemas.openxmlformats.org/officeDocument/2006/relationships/footer" Target="/word/footer3.xml" Id="R947ec2cf9cf84b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15d61b252b44ba" /></Relationships>
</file>