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b9548c54e74a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b8494f9e254d49"/>
      <w:footerReference w:type="even" r:id="R695017b4fb924afa"/>
      <w:footerReference w:type="first" r:id="R7a3ee2e1747d4d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eeead7676946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DFZ-2015-3834-X-NE-EI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8dbd5c6e947f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a7e5c622cb45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a16add297d447f" /><Relationship Type="http://schemas.openxmlformats.org/officeDocument/2006/relationships/numbering" Target="/word/numbering.xml" Id="R3647afa1ccb446da" /><Relationship Type="http://schemas.openxmlformats.org/officeDocument/2006/relationships/settings" Target="/word/settings.xml" Id="R5820170f46184dbe" /><Relationship Type="http://schemas.openxmlformats.org/officeDocument/2006/relationships/image" Target="/word/media/82c8b4be-a204-41f3-b024-e2afddf691f4.png" Id="R9aeeead767694608" /><Relationship Type="http://schemas.openxmlformats.org/officeDocument/2006/relationships/image" Target="/word/media/edf7d9f6-7dcc-45c7-808e-ba9e538c0b2f.png" Id="Rf3c8dbd5c6e947f0" /><Relationship Type="http://schemas.openxmlformats.org/officeDocument/2006/relationships/footer" Target="/word/footer1.xml" Id="Rf5b8494f9e254d49" /><Relationship Type="http://schemas.openxmlformats.org/officeDocument/2006/relationships/footer" Target="/word/footer2.xml" Id="R695017b4fb924afa" /><Relationship Type="http://schemas.openxmlformats.org/officeDocument/2006/relationships/footer" Target="/word/footer3.xml" Id="R7a3ee2e1747d4d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a7e5c622cb4598" /></Relationships>
</file>