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8be04265ea40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8c3a5f523f4413"/>
      <w:footerReference w:type="even" r:id="Raa72eadbba30417f"/>
      <w:footerReference w:type="first" r:id="Rd64174dd5bc647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46312ca70a47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DFZ-2014-2906-IX-NE-EI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208299b840421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presenta el autocontrol correspondiente al mes de ENERO de 2014 para el(los) siguiente(s) punto(s) de descarga(s):  PUNTO 1 (ESTERO COIPO);El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(ESTERO COIPO)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4c77ca06a642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1730ebffbf4742" /><Relationship Type="http://schemas.openxmlformats.org/officeDocument/2006/relationships/numbering" Target="/word/numbering.xml" Id="R947af82b1f294976" /><Relationship Type="http://schemas.openxmlformats.org/officeDocument/2006/relationships/settings" Target="/word/settings.xml" Id="Rbfa0ecad666e49c0" /><Relationship Type="http://schemas.openxmlformats.org/officeDocument/2006/relationships/image" Target="/word/media/21ffe0b6-2758-492d-b740-4afa95d2ceca.png" Id="R4346312ca70a478b" /><Relationship Type="http://schemas.openxmlformats.org/officeDocument/2006/relationships/image" Target="/word/media/1a8d3988-e2f4-47b9-ac4d-f08427af9791.png" Id="R4b208299b8404216" /><Relationship Type="http://schemas.openxmlformats.org/officeDocument/2006/relationships/footer" Target="/word/footer1.xml" Id="R348c3a5f523f4413" /><Relationship Type="http://schemas.openxmlformats.org/officeDocument/2006/relationships/footer" Target="/word/footer2.xml" Id="Raa72eadbba30417f" /><Relationship Type="http://schemas.openxmlformats.org/officeDocument/2006/relationships/footer" Target="/word/footer3.xml" Id="Rd64174dd5bc647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4c77ca06a64248" /></Relationships>
</file>