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9c94bc31db40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9ef414d189405c"/>
      <w:footerReference w:type="even" r:id="R90f9269bfadf48cf"/>
      <w:footerReference w:type="first" r:id="R67f2f29b10de48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c5704ee325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DFZ-2014-4949-X-NE-EI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c51067ae3402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92ef756f374b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2cf99b54da404a" /><Relationship Type="http://schemas.openxmlformats.org/officeDocument/2006/relationships/numbering" Target="/word/numbering.xml" Id="R343019f052c04d4e" /><Relationship Type="http://schemas.openxmlformats.org/officeDocument/2006/relationships/settings" Target="/word/settings.xml" Id="R34dfcbd84bba4688" /><Relationship Type="http://schemas.openxmlformats.org/officeDocument/2006/relationships/image" Target="/word/media/287ae9c0-80ba-4b24-a2a0-c093948b0a1c.png" Id="Rccc5704ee32549c5" /><Relationship Type="http://schemas.openxmlformats.org/officeDocument/2006/relationships/image" Target="/word/media/e7fc7dfc-5259-41e0-96e2-2f1396b36816.png" Id="R291c51067ae34028" /><Relationship Type="http://schemas.openxmlformats.org/officeDocument/2006/relationships/footer" Target="/word/footer1.xml" Id="R819ef414d189405c" /><Relationship Type="http://schemas.openxmlformats.org/officeDocument/2006/relationships/footer" Target="/word/footer2.xml" Id="R90f9269bfadf48cf" /><Relationship Type="http://schemas.openxmlformats.org/officeDocument/2006/relationships/footer" Target="/word/footer3.xml" Id="R67f2f29b10de48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92ef756f374b83" /></Relationships>
</file>