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024fe8e23a45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af2aa3dea8407e"/>
      <w:footerReference w:type="even" r:id="R6ac6c2f947284ff7"/>
      <w:footerReference w:type="first" r:id="R44f143b94b0947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f573e14a742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DFZ-2014-5959-VI-NE-EI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a3fc063244fe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(ESTERO QUEBRADA VIÑA APALTA);El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200904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(ESTERO QUEBRADA VIÑA APALTA)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aab6c89e054d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43147b7bd41fc" /><Relationship Type="http://schemas.openxmlformats.org/officeDocument/2006/relationships/numbering" Target="/word/numbering.xml" Id="Re272f8bca92c4252" /><Relationship Type="http://schemas.openxmlformats.org/officeDocument/2006/relationships/settings" Target="/word/settings.xml" Id="R5a7c40114190445b" /><Relationship Type="http://schemas.openxmlformats.org/officeDocument/2006/relationships/image" Target="/word/media/1eee6445-326c-48f9-9815-c7e71e0f01cc.png" Id="Re86f573e14a74265" /><Relationship Type="http://schemas.openxmlformats.org/officeDocument/2006/relationships/image" Target="/word/media/4d3db25a-ff1b-44e0-9c66-8b8c26bfa729.png" Id="R7eda3fc063244fe2" /><Relationship Type="http://schemas.openxmlformats.org/officeDocument/2006/relationships/footer" Target="/word/footer1.xml" Id="R0baf2aa3dea8407e" /><Relationship Type="http://schemas.openxmlformats.org/officeDocument/2006/relationships/footer" Target="/word/footer2.xml" Id="R6ac6c2f947284ff7" /><Relationship Type="http://schemas.openxmlformats.org/officeDocument/2006/relationships/footer" Target="/word/footer3.xml" Id="R44f143b94b0947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aab6c89e054dac" /></Relationships>
</file>