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de95a198874a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7a91272bef40e5"/>
      <w:footerReference w:type="even" r:id="Rdf9f80cb5e8f4bf8"/>
      <w:footerReference w:type="first" r:id="R8c4ed05e47f04a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c10d1962754a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DFZ-2015-3808-X-NE-EI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836c226a5940ef"/>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DICIEMBRE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3fd4eeb8fcc43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121912fe2f43fe" /><Relationship Type="http://schemas.openxmlformats.org/officeDocument/2006/relationships/numbering" Target="/word/numbering.xml" Id="Rf12db75f9ea04d14" /><Relationship Type="http://schemas.openxmlformats.org/officeDocument/2006/relationships/settings" Target="/word/settings.xml" Id="R439b2340ff4a490c" /><Relationship Type="http://schemas.openxmlformats.org/officeDocument/2006/relationships/image" Target="/word/media/0911876c-6003-48ff-8bee-54950bbcea76.png" Id="Rf1c10d1962754a48" /><Relationship Type="http://schemas.openxmlformats.org/officeDocument/2006/relationships/image" Target="/word/media/5565d650-7932-41eb-bd0f-868ff3587957.png" Id="R65836c226a5940ef" /><Relationship Type="http://schemas.openxmlformats.org/officeDocument/2006/relationships/footer" Target="/word/footer1.xml" Id="R5f7a91272bef40e5" /><Relationship Type="http://schemas.openxmlformats.org/officeDocument/2006/relationships/footer" Target="/word/footer2.xml" Id="Rdf9f80cb5e8f4bf8" /><Relationship Type="http://schemas.openxmlformats.org/officeDocument/2006/relationships/footer" Target="/word/footer3.xml" Id="R8c4ed05e47f04a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3fd4eeb8fcc43cf" /></Relationships>
</file>