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1643b5b2a44e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098569b16847a5"/>
      <w:footerReference w:type="even" r:id="Rb7eebce268034a6f"/>
      <w:footerReference w:type="first" r:id="Raf80b8b4bbda49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5eb600a60640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DFZ-2014-4884-VI-NE-EI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7210fa93764f0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59229f654840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40a67a01ac472c" /><Relationship Type="http://schemas.openxmlformats.org/officeDocument/2006/relationships/numbering" Target="/word/numbering.xml" Id="R3f901fe151634d40" /><Relationship Type="http://schemas.openxmlformats.org/officeDocument/2006/relationships/settings" Target="/word/settings.xml" Id="R7458bf600b2b4b51" /><Relationship Type="http://schemas.openxmlformats.org/officeDocument/2006/relationships/image" Target="/word/media/3fd63dc3-c4b5-4da2-9f02-caa15c773143.png" Id="Re95eb600a6064059" /><Relationship Type="http://schemas.openxmlformats.org/officeDocument/2006/relationships/image" Target="/word/media/d35423a5-9b9e-4c04-b32f-37df03180c15.png" Id="R527210fa93764f0a" /><Relationship Type="http://schemas.openxmlformats.org/officeDocument/2006/relationships/footer" Target="/word/footer1.xml" Id="R4d098569b16847a5" /><Relationship Type="http://schemas.openxmlformats.org/officeDocument/2006/relationships/footer" Target="/word/footer2.xml" Id="Rb7eebce268034a6f" /><Relationship Type="http://schemas.openxmlformats.org/officeDocument/2006/relationships/footer" Target="/word/footer3.xml" Id="Raf80b8b4bbda49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59229f6548404d" /></Relationships>
</file>