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50e4eec6642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4d0254106d4fa0"/>
      <w:footerReference w:type="even" r:id="R36519402599740e0"/>
      <w:footerReference w:type="first" r:id="R274d586949cb4f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6e990d273645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DFZ-2015-2899-VIII-NE-EI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194f8116fc4d9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0ec30b6d4e45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054977912e4586" /><Relationship Type="http://schemas.openxmlformats.org/officeDocument/2006/relationships/numbering" Target="/word/numbering.xml" Id="Rde33a79fb2d64091" /><Relationship Type="http://schemas.openxmlformats.org/officeDocument/2006/relationships/settings" Target="/word/settings.xml" Id="R402f796c75834503" /><Relationship Type="http://schemas.openxmlformats.org/officeDocument/2006/relationships/image" Target="/word/media/e4106502-45a5-43e9-aced-93186b0aabfd.png" Id="Ra66e990d2736451d" /><Relationship Type="http://schemas.openxmlformats.org/officeDocument/2006/relationships/image" Target="/word/media/89b45859-f2b7-4464-a3d6-3d44742690fe.png" Id="R41194f8116fc4d9a" /><Relationship Type="http://schemas.openxmlformats.org/officeDocument/2006/relationships/footer" Target="/word/footer1.xml" Id="R844d0254106d4fa0" /><Relationship Type="http://schemas.openxmlformats.org/officeDocument/2006/relationships/footer" Target="/word/footer2.xml" Id="R36519402599740e0" /><Relationship Type="http://schemas.openxmlformats.org/officeDocument/2006/relationships/footer" Target="/word/footer3.xml" Id="R274d586949cb4f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0ec30b6d4e4550" /></Relationships>
</file>