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23de3159ea4d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967da280484ab1"/>
      <w:footerReference w:type="even" r:id="Rea46231a26904e9e"/>
      <w:footerReference w:type="first" r:id="Rc7902c56b667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2bd3655c44a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DFZ-2014-2768-IX-NE-EI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3eeb17b24441f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0fe68b4e564c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a7f95861f5463a" /><Relationship Type="http://schemas.openxmlformats.org/officeDocument/2006/relationships/numbering" Target="/word/numbering.xml" Id="R8327361611564c43" /><Relationship Type="http://schemas.openxmlformats.org/officeDocument/2006/relationships/settings" Target="/word/settings.xml" Id="Rd99a834152874f67" /><Relationship Type="http://schemas.openxmlformats.org/officeDocument/2006/relationships/image" Target="/word/media/45a48395-4af6-43ec-b858-6f95a4be3db8.png" Id="R5ac2bd3655c44ae8" /><Relationship Type="http://schemas.openxmlformats.org/officeDocument/2006/relationships/image" Target="/word/media/6673254c-4579-4400-b403-dbe6433cb03f.png" Id="Re73eeb17b24441fb" /><Relationship Type="http://schemas.openxmlformats.org/officeDocument/2006/relationships/footer" Target="/word/footer1.xml" Id="Rf0967da280484ab1" /><Relationship Type="http://schemas.openxmlformats.org/officeDocument/2006/relationships/footer" Target="/word/footer2.xml" Id="Rea46231a26904e9e" /><Relationship Type="http://schemas.openxmlformats.org/officeDocument/2006/relationships/footer" Target="/word/footer3.xml" Id="Rc7902c56b667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0fe68b4e564c24" /></Relationships>
</file>