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500b042f7642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e85d3569b84c39"/>
      <w:footerReference w:type="even" r:id="R3114dd623afb4964"/>
      <w:footerReference w:type="first" r:id="R86c6e9babb654f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d228856d684c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DFZ-2015-3936-X-NE-EI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cd392b496d469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DICIEMBRE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ad7f7bca0e43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21182178814b82" /><Relationship Type="http://schemas.openxmlformats.org/officeDocument/2006/relationships/numbering" Target="/word/numbering.xml" Id="Rd77ef19c493c412a" /><Relationship Type="http://schemas.openxmlformats.org/officeDocument/2006/relationships/settings" Target="/word/settings.xml" Id="R524f8702655a4ffc" /><Relationship Type="http://schemas.openxmlformats.org/officeDocument/2006/relationships/image" Target="/word/media/4b4742d8-ba54-4cea-a38f-b8dca6669933.png" Id="R2cd228856d684c2c" /><Relationship Type="http://schemas.openxmlformats.org/officeDocument/2006/relationships/image" Target="/word/media/9f72cf19-b87a-4fbe-bb41-afc855fac9be.png" Id="R59cd392b496d4694" /><Relationship Type="http://schemas.openxmlformats.org/officeDocument/2006/relationships/footer" Target="/word/footer1.xml" Id="Rd4e85d3569b84c39" /><Relationship Type="http://schemas.openxmlformats.org/officeDocument/2006/relationships/footer" Target="/word/footer2.xml" Id="R3114dd623afb4964" /><Relationship Type="http://schemas.openxmlformats.org/officeDocument/2006/relationships/footer" Target="/word/footer3.xml" Id="R86c6e9babb654f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ad7f7bca0e435f" /></Relationships>
</file>