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88debfd3844f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82863c5a6c4b18"/>
      <w:footerReference w:type="even" r:id="Rc63afdba30f74dc3"/>
      <w:footerReference w:type="first" r:id="R4ef74d006ea54e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953fc1834547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DFZ-2015-3474-VIII-NE-EI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846ffb7b0147a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af4c9c75d842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6d82ef4a404193" /><Relationship Type="http://schemas.openxmlformats.org/officeDocument/2006/relationships/numbering" Target="/word/numbering.xml" Id="R58c6778f977e4aeb" /><Relationship Type="http://schemas.openxmlformats.org/officeDocument/2006/relationships/settings" Target="/word/settings.xml" Id="R9dbbaa637f2d403f" /><Relationship Type="http://schemas.openxmlformats.org/officeDocument/2006/relationships/image" Target="/word/media/761a9631-3b6b-462d-b971-c89f3f288bd6.png" Id="R46953fc183454793" /><Relationship Type="http://schemas.openxmlformats.org/officeDocument/2006/relationships/image" Target="/word/media/897910ab-a3b2-4a74-9628-54fcd43b3c35.png" Id="R3e846ffb7b0147a5" /><Relationship Type="http://schemas.openxmlformats.org/officeDocument/2006/relationships/footer" Target="/word/footer1.xml" Id="Rd682863c5a6c4b18" /><Relationship Type="http://schemas.openxmlformats.org/officeDocument/2006/relationships/footer" Target="/word/footer2.xml" Id="Rc63afdba30f74dc3" /><Relationship Type="http://schemas.openxmlformats.org/officeDocument/2006/relationships/footer" Target="/word/footer3.xml" Id="R4ef74d006ea54e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af4c9c75d84282" /></Relationships>
</file>