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b2027b083b44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ba45c2f6494f35"/>
      <w:footerReference w:type="even" r:id="Re63129bb3e654f55"/>
      <w:footerReference w:type="first" r:id="Ra473db401bca40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815136b5f748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DFZ-2013-6559-VIII-NE-EI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MAURICIO.TAPIA@AES.COM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N°345 de fecha 10-12-2007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94272000-9-657-1073</w:t>
            </w:r>
          </w:p>
        </w:tc>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738861</w:t>
            </w:r>
          </w:p>
        </w:tc>
        <w:tc>
          <w:tcPr>
            <w:tcW w:w="2310" w:type="auto"/>
          </w:tcPr>
          <w:p>
            <w:pPr/>
            <w:r>
              <w:rPr>
                <w:sz w:val="18"/>
                <w:szCs w:val="18"/>
              </w:rPr>
              <w:t>5892260</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94272000-9-657-1073</w:t>
            </w:r>
          </w:p>
        </w:tc>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9dfe2f97e6242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e6b63a43884927" /><Relationship Type="http://schemas.openxmlformats.org/officeDocument/2006/relationships/numbering" Target="/word/numbering.xml" Id="R30c521e1a7b64370" /><Relationship Type="http://schemas.openxmlformats.org/officeDocument/2006/relationships/settings" Target="/word/settings.xml" Id="R48938798dfcb43a2" /><Relationship Type="http://schemas.openxmlformats.org/officeDocument/2006/relationships/image" Target="/word/media/5d041e45-44d7-4f0b-a832-08eb2578ac43.png" Id="R3f815136b5f748bf" /><Relationship Type="http://schemas.openxmlformats.org/officeDocument/2006/relationships/footer" Target="/word/footer1.xml" Id="Rb0ba45c2f6494f35" /><Relationship Type="http://schemas.openxmlformats.org/officeDocument/2006/relationships/footer" Target="/word/footer2.xml" Id="Re63129bb3e654f55" /><Relationship Type="http://schemas.openxmlformats.org/officeDocument/2006/relationships/footer" Target="/word/footer3.xml" Id="Ra473db401bca40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dfe2f97e6242f0" /></Relationships>
</file>