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3dbe32c36d44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b78dada5bb4b2c"/>
      <w:footerReference w:type="even" r:id="Rcb5d85895d2746df"/>
      <w:footerReference w:type="first" r:id="Rc5b675e6a2cf46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7f8aa5528346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DFZ-2013-6508-XIV-NE-EI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SEPTIEMBRE del año 2013.</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 de fecha 31-01-2013</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89524800-2-1-1336</w:t>
            </w:r>
          </w:p>
        </w:tc>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VULNERABILIDAD BAJA</w:t>
            </w:r>
          </w:p>
        </w:tc>
        <w:tc>
          <w:tcPr>
            <w:tcW w:w="2310" w:type="auto"/>
          </w:tcPr>
          <w:p>
            <w:pPr/>
            <w:r>
              <w:rPr>
                <w:sz w:val="18"/>
                <w:szCs w:val="18"/>
              </w:rPr>
              <w:t>31192</w:t>
            </w:r>
          </w:p>
        </w:tc>
        <w:tc>
          <w:tcPr>
            <w:tcW w:w="2310" w:type="auto"/>
          </w:tcPr>
          <w:p>
            <w:pPr/>
          </w:p>
        </w:tc>
        <w:tc>
          <w:tcPr>
            <w:tcW w:w="2310" w:type="auto"/>
          </w:tcPr>
          <w:p>
            <w:pPr/>
          </w:p>
        </w:tc>
        <w:tc>
          <w:tcPr>
            <w:tcW w:w="2310" w:type="auto"/>
          </w:tcPr>
          <w:p>
            <w:pPr/>
            <w:r>
              <w:rPr>
                <w:sz w:val="18"/>
                <w:szCs w:val="18"/>
              </w:rPr>
              <w:t>654498</w:t>
            </w:r>
          </w:p>
        </w:tc>
        <w:tc>
          <w:tcPr>
            <w:tcW w:w="2310" w:type="auto"/>
          </w:tcPr>
          <w:p>
            <w:pPr/>
            <w:r>
              <w:rPr>
                <w:sz w:val="18"/>
                <w:szCs w:val="18"/>
              </w:rPr>
              <w:t>5600582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89524800-2-1-1336</w:t>
            </w:r>
          </w:p>
        </w:tc>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volumen de descarga informado excede el valor límite indicado en su programa de monitoreo.</w:t>
            </w:r>
          </w:p>
        </w:tc>
      </w:tr>
      <w:tr>
        <w:tc>
          <w:tcPr>
            <w:tcW w:w="2310" w:type="auto"/>
          </w:tcPr>
          <w:p>
            <w:pPr>
              <w:jc w:val="center"/>
            </w:pPr>
            <w:r>
              <w:t>7</w:t>
            </w:r>
          </w:p>
        </w:tc>
        <w:tc>
          <w:tcPr>
            <w:tcW w:w="2310" w:type="auto"/>
          </w:tcPr>
          <w:p>
            <w:pPr/>
            <w:r>
              <w:t>Parámetros bajo norma</w:t>
            </w:r>
          </w:p>
        </w:tc>
        <w:tc>
          <w:tcPr>
            <w:tcW w:w="2310" w:type="auto"/>
          </w:tcPr>
          <w:p>
            <w:pPr/>
            <w:r>
              <w:t>El período controlado presenta parámetros que exceden el valor límite indicado en la norma.</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remuestreo para el período controlado.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193073eb2a4c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6eca33e4754b87" /><Relationship Type="http://schemas.openxmlformats.org/officeDocument/2006/relationships/numbering" Target="/word/numbering.xml" Id="R8f94fc27f63a4a9d" /><Relationship Type="http://schemas.openxmlformats.org/officeDocument/2006/relationships/settings" Target="/word/settings.xml" Id="Red437285932545f0" /><Relationship Type="http://schemas.openxmlformats.org/officeDocument/2006/relationships/image" Target="/word/media/48d5b9a5-f61c-45d2-9c4b-5ada8bd92969.png" Id="Rd87f8aa552834631" /><Relationship Type="http://schemas.openxmlformats.org/officeDocument/2006/relationships/footer" Target="/word/footer1.xml" Id="R4db78dada5bb4b2c" /><Relationship Type="http://schemas.openxmlformats.org/officeDocument/2006/relationships/footer" Target="/word/footer2.xml" Id="Rcb5d85895d2746df" /><Relationship Type="http://schemas.openxmlformats.org/officeDocument/2006/relationships/footer" Target="/word/footer3.xml" Id="Rc5b675e6a2cf46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193073eb2a4c97" /></Relationships>
</file>