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156febe234c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1fd2894797c41ae"/>
      <w:footerReference w:type="even" r:id="Rdb129c72382f4cf0"/>
      <w:footerReference w:type="first" r:id="R27d4a288733b40d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66c15cbb9c402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DFZ-2013-6516-VII-NE-EI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/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SEPTIEMBRE del año 2013.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252020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6055903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del plazo establecido.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df57ae198b14fc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b6b1b9024649ac" /><Relationship Type="http://schemas.openxmlformats.org/officeDocument/2006/relationships/numbering" Target="/word/numbering.xml" Id="Rf6f0dff644e24268" /><Relationship Type="http://schemas.openxmlformats.org/officeDocument/2006/relationships/settings" Target="/word/settings.xml" Id="Rfdfd56206baf42ee" /><Relationship Type="http://schemas.openxmlformats.org/officeDocument/2006/relationships/image" Target="/word/media/ba7719ba-9097-474b-969d-9d57e25715f6.png" Id="R4866c15cbb9c4026" /><Relationship Type="http://schemas.openxmlformats.org/officeDocument/2006/relationships/footer" Target="/word/footer1.xml" Id="R51fd2894797c41ae" /><Relationship Type="http://schemas.openxmlformats.org/officeDocument/2006/relationships/footer" Target="/word/footer2.xml" Id="Rdb129c72382f4cf0" /><Relationship Type="http://schemas.openxmlformats.org/officeDocument/2006/relationships/footer" Target="/word/footer3.xml" Id="R27d4a288733b40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df57ae198b14fc6" /></Relationships>
</file>