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50a4b863c244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b964c681604b2c"/>
      <w:footerReference w:type="even" r:id="R79d90dcba2704688"/>
      <w:footerReference w:type="first" r:id="R2aa2d4265f144e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73af5ceee949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DFZ-2015-2552-X-NE-EI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1812ff94ed4e7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5f048b68934e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83b0dd0f444de3" /><Relationship Type="http://schemas.openxmlformats.org/officeDocument/2006/relationships/numbering" Target="/word/numbering.xml" Id="Rff13fb963df14372" /><Relationship Type="http://schemas.openxmlformats.org/officeDocument/2006/relationships/settings" Target="/word/settings.xml" Id="R8dc4b42a6a264353" /><Relationship Type="http://schemas.openxmlformats.org/officeDocument/2006/relationships/image" Target="/word/media/a068feb5-91d5-4465-83e3-5d78b3f8c93c.png" Id="Rb973af5ceee94987" /><Relationship Type="http://schemas.openxmlformats.org/officeDocument/2006/relationships/image" Target="/word/media/831bafc1-9061-489c-9c88-226d074d2d17.png" Id="Reb1812ff94ed4e7a" /><Relationship Type="http://schemas.openxmlformats.org/officeDocument/2006/relationships/footer" Target="/word/footer1.xml" Id="R91b964c681604b2c" /><Relationship Type="http://schemas.openxmlformats.org/officeDocument/2006/relationships/footer" Target="/word/footer2.xml" Id="R79d90dcba2704688" /><Relationship Type="http://schemas.openxmlformats.org/officeDocument/2006/relationships/footer" Target="/word/footer3.xml" Id="R2aa2d4265f144e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5f048b68934ebc" /></Relationships>
</file>