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075d4564284f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5dd952099c0405f"/>
      <w:footerReference w:type="even" r:id="Re6302803dab74fb2"/>
      <w:footerReference w:type="first" r:id="Rdaf9820bc58d41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d04c0b793e462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DFZ-2015-2067-VIII-NE-EI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fc282f154a485c"/>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SEPTIEMBRE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22-11-1999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90b2e41d214e0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6d31492955c4813" /><Relationship Type="http://schemas.openxmlformats.org/officeDocument/2006/relationships/numbering" Target="/word/numbering.xml" Id="R8bec5b3af1084d10" /><Relationship Type="http://schemas.openxmlformats.org/officeDocument/2006/relationships/settings" Target="/word/settings.xml" Id="Rac09c32ca4374c6b" /><Relationship Type="http://schemas.openxmlformats.org/officeDocument/2006/relationships/image" Target="/word/media/dd657cad-b9ff-4a4e-8bbb-dc8ef3c63b68.png" Id="R60d04c0b793e4622" /><Relationship Type="http://schemas.openxmlformats.org/officeDocument/2006/relationships/image" Target="/word/media/e8e3625d-ab06-48a5-a965-f9c10984a16f.png" Id="R79fc282f154a485c" /><Relationship Type="http://schemas.openxmlformats.org/officeDocument/2006/relationships/footer" Target="/word/footer1.xml" Id="R25dd952099c0405f" /><Relationship Type="http://schemas.openxmlformats.org/officeDocument/2006/relationships/footer" Target="/word/footer2.xml" Id="Re6302803dab74fb2" /><Relationship Type="http://schemas.openxmlformats.org/officeDocument/2006/relationships/footer" Target="/word/footer3.xml" Id="Rdaf9820bc58d41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90b2e41d214e0d" /></Relationships>
</file>