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bd1dde994646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b92a05ba634ec1"/>
      <w:footerReference w:type="even" r:id="R40e786ebb86b48af"/>
      <w:footerReference w:type="first" r:id="R9f278e4c0e714a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af353731a343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DFZ-2015-2340-XIV-NE-EI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ef1628c3ad407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7d6de03dfc41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51944a2c474e6f" /><Relationship Type="http://schemas.openxmlformats.org/officeDocument/2006/relationships/numbering" Target="/word/numbering.xml" Id="R7fcaaa6f112840a3" /><Relationship Type="http://schemas.openxmlformats.org/officeDocument/2006/relationships/settings" Target="/word/settings.xml" Id="R222a47648f9e4be4" /><Relationship Type="http://schemas.openxmlformats.org/officeDocument/2006/relationships/image" Target="/word/media/b9f8df30-2e36-4689-9e27-5f559601cbaf.png" Id="R24af353731a34374" /><Relationship Type="http://schemas.openxmlformats.org/officeDocument/2006/relationships/image" Target="/word/media/7f2b65d7-3fa1-4cd5-90ed-ecf42b759bf9.png" Id="Ra4ef1628c3ad407a" /><Relationship Type="http://schemas.openxmlformats.org/officeDocument/2006/relationships/footer" Target="/word/footer1.xml" Id="Re9b92a05ba634ec1" /><Relationship Type="http://schemas.openxmlformats.org/officeDocument/2006/relationships/footer" Target="/word/footer2.xml" Id="R40e786ebb86b48af" /><Relationship Type="http://schemas.openxmlformats.org/officeDocument/2006/relationships/footer" Target="/word/footer3.xml" Id="R9f278e4c0e714a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7d6de03dfc4152" /></Relationships>
</file>