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39b173a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752f8d2b724feb"/>
      <w:footerReference w:type="even" r:id="R1e97c13f9241406b"/>
      <w:footerReference w:type="first" r:id="R378e6787cb03402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632f0c0140446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DFZ-2013-6493-VI-NE-EI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SEPTIEMBRE del año 2013.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del plazo establecido.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todos los parámetros indicados para controlar en su programa de monitoreo.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todas las muestras del período controlado indicadas en su programa de monitoreo.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período controlado presenta parámetros que exceden el valor límite indicado en la norma.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99be776634d4c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d9252485452f" /><Relationship Type="http://schemas.openxmlformats.org/officeDocument/2006/relationships/numbering" Target="/word/numbering.xml" Id="Rcf0ddbf4e33246b6" /><Relationship Type="http://schemas.openxmlformats.org/officeDocument/2006/relationships/settings" Target="/word/settings.xml" Id="R9b7bb1d6aaa34c08" /><Relationship Type="http://schemas.openxmlformats.org/officeDocument/2006/relationships/image" Target="/word/media/93240adb-c35d-48cb-a692-d7f9ef1f5d14.png" Id="R47632f0c01404465" /><Relationship Type="http://schemas.openxmlformats.org/officeDocument/2006/relationships/footer" Target="/word/footer1.xml" Id="R4a752f8d2b724feb" /><Relationship Type="http://schemas.openxmlformats.org/officeDocument/2006/relationships/footer" Target="/word/footer2.xml" Id="R1e97c13f9241406b" /><Relationship Type="http://schemas.openxmlformats.org/officeDocument/2006/relationships/footer" Target="/word/footer3.xml" Id="R378e6787cb0340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99be776634d4c9b" /></Relationships>
</file>