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041fe4966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f29abc5eb684b67"/>
      <w:footerReference w:type="even" r:id="R840ad4b05bd9446a"/>
      <w:footerReference w:type="first" r:id="Ra1f73dadc0f54b2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8970e490b634f4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DFZ-2013-6515-VI-NE-EI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SEPTIEMBRE del año 2013.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298782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6195520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del plazo establecido.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58c9985d499d412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cceb06c50435b" /><Relationship Type="http://schemas.openxmlformats.org/officeDocument/2006/relationships/numbering" Target="/word/numbering.xml" Id="R13811801270749be" /><Relationship Type="http://schemas.openxmlformats.org/officeDocument/2006/relationships/settings" Target="/word/settings.xml" Id="R4b84d9a32f7a42e6" /><Relationship Type="http://schemas.openxmlformats.org/officeDocument/2006/relationships/image" Target="/word/media/de989800-b021-45ed-bea7-cc7026d36b58.png" Id="R38970e490b634f40" /><Relationship Type="http://schemas.openxmlformats.org/officeDocument/2006/relationships/footer" Target="/word/footer1.xml" Id="R6f29abc5eb684b67" /><Relationship Type="http://schemas.openxmlformats.org/officeDocument/2006/relationships/footer" Target="/word/footer2.xml" Id="R840ad4b05bd9446a" /><Relationship Type="http://schemas.openxmlformats.org/officeDocument/2006/relationships/footer" Target="/word/footer3.xml" Id="Ra1f73dadc0f54b2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8c9985d499d4123" /></Relationships>
</file>