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f736f9be2441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cc4ff93d594187"/>
      <w:footerReference w:type="even" r:id="R181dd47f4141475e"/>
      <w:footerReference w:type="first" r:id="R1628efa3c9774f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a1fc837004f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DFZ-2015-2126-IX-NE-EI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f6f8b3d162448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7cc636fdf642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cd07763b043ec" /><Relationship Type="http://schemas.openxmlformats.org/officeDocument/2006/relationships/numbering" Target="/word/numbering.xml" Id="R7e4830c4732a4af6" /><Relationship Type="http://schemas.openxmlformats.org/officeDocument/2006/relationships/settings" Target="/word/settings.xml" Id="R62c21db12e80406b" /><Relationship Type="http://schemas.openxmlformats.org/officeDocument/2006/relationships/image" Target="/word/media/78264bde-e3d5-4847-aa13-101b54aad281.png" Id="Rfb4a1fc837004fc9" /><Relationship Type="http://schemas.openxmlformats.org/officeDocument/2006/relationships/image" Target="/word/media/1460c78d-8fce-4b25-9428-942d431413bf.png" Id="Reaf6f8b3d1624480" /><Relationship Type="http://schemas.openxmlformats.org/officeDocument/2006/relationships/footer" Target="/word/footer1.xml" Id="Rf7cc4ff93d594187" /><Relationship Type="http://schemas.openxmlformats.org/officeDocument/2006/relationships/footer" Target="/word/footer2.xml" Id="R181dd47f4141475e" /><Relationship Type="http://schemas.openxmlformats.org/officeDocument/2006/relationships/footer" Target="/word/footer3.xml" Id="R1628efa3c9774f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7cc636fdf6423b" /></Relationships>
</file>